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E" w:rsidRDefault="00972D11">
      <w:pPr>
        <w:widowControl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5419090</wp:posOffset>
            </wp:positionH>
            <wp:positionV relativeFrom="page">
              <wp:posOffset>314960</wp:posOffset>
            </wp:positionV>
            <wp:extent cx="933450" cy="413385"/>
            <wp:effectExtent l="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00E" w:rsidRDefault="00972D11">
      <w:pPr>
        <w:widowControl/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91515" cy="79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90" w:type="dxa"/>
        <w:tblInd w:w="-76" w:type="dxa"/>
        <w:tblLook w:val="04A0"/>
      </w:tblPr>
      <w:tblGrid>
        <w:gridCol w:w="6140"/>
        <w:gridCol w:w="4250"/>
      </w:tblGrid>
      <w:tr w:rsidR="0067500E">
        <w:tc>
          <w:tcPr>
            <w:tcW w:w="10389" w:type="dxa"/>
            <w:gridSpan w:val="2"/>
            <w:shd w:val="clear" w:color="auto" w:fill="auto"/>
          </w:tcPr>
          <w:p w:rsidR="0067500E" w:rsidRDefault="00972D11">
            <w:pPr>
              <w:widowControl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МИНИСТЕРСТВО ОБРАЗОВАНИЯ </w:t>
            </w:r>
          </w:p>
          <w:p w:rsidR="0067500E" w:rsidRDefault="00972D11">
            <w:pPr>
              <w:widowControl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МОСКОВСКОЙ ОБЛАСТИ</w:t>
            </w:r>
          </w:p>
        </w:tc>
      </w:tr>
      <w:tr w:rsidR="0067500E">
        <w:tc>
          <w:tcPr>
            <w:tcW w:w="613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7500E" w:rsidRDefault="00972D11">
            <w:pPr>
              <w:pStyle w:val="10"/>
              <w:suppressAutoHyphens/>
              <w:spacing w:before="0" w:after="0" w:line="288" w:lineRule="auto"/>
              <w:ind w:right="191" w:firstLine="0"/>
              <w:jc w:val="left"/>
            </w:pPr>
            <w:r>
              <w:rPr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2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7500E" w:rsidRDefault="00972D11">
            <w:pPr>
              <w:pStyle w:val="10"/>
              <w:suppressAutoHyphens/>
              <w:spacing w:before="0" w:after="0" w:line="288" w:lineRule="auto"/>
              <w:ind w:right="34" w:firstLine="0"/>
              <w:jc w:val="right"/>
            </w:pPr>
            <w:r>
              <w:rPr>
                <w:bCs/>
                <w:sz w:val="18"/>
                <w:szCs w:val="18"/>
              </w:rPr>
              <w:t>тел. 8 (498) 602-11-11;  факс 8 (498) 602-09-93</w:t>
            </w:r>
          </w:p>
          <w:p w:rsidR="0067500E" w:rsidRDefault="00972D11">
            <w:pPr>
              <w:pStyle w:val="10"/>
              <w:suppressAutoHyphens/>
              <w:spacing w:before="0" w:after="0" w:line="288" w:lineRule="auto"/>
              <w:ind w:right="191" w:firstLine="0"/>
            </w:pP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hyperlink r:id="rId10">
              <w:r>
                <w:rPr>
                  <w:rStyle w:val="-"/>
                  <w:bCs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67500E" w:rsidRDefault="00B02563">
      <w:pPr>
        <w:spacing w:line="288" w:lineRule="auto"/>
        <w:ind w:left="142" w:right="191"/>
        <w:rPr>
          <w:sz w:val="16"/>
          <w:szCs w:val="16"/>
        </w:rPr>
      </w:pPr>
      <w:r>
        <w:rPr>
          <w:sz w:val="16"/>
          <w:szCs w:val="16"/>
        </w:rPr>
        <w:pict>
          <v:rect id="shape_0" o:spid="_x0000_s1026" style="position:absolute;left:0;text-align:left;margin-left:.05pt;margin-top:.05pt;width:1.1pt;height:2.55pt;z-index:251658240;mso-position-horizontal-relative:text;mso-position-vertical-relative:text" fillcolor="#a0a0a0" stroked="f" strokecolor="#3465a4">
            <v:fill color2="#5f5f5f" o:detectmouseclick="t"/>
            <v:stroke joinstyle="round"/>
          </v:rect>
        </w:pict>
      </w:r>
    </w:p>
    <w:tbl>
      <w:tblPr>
        <w:tblW w:w="10375" w:type="dxa"/>
        <w:tblLook w:val="04A0"/>
      </w:tblPr>
      <w:tblGrid>
        <w:gridCol w:w="5439"/>
        <w:gridCol w:w="4936"/>
      </w:tblGrid>
      <w:tr w:rsidR="0067500E">
        <w:tc>
          <w:tcPr>
            <w:tcW w:w="5438" w:type="dxa"/>
            <w:shd w:val="clear" w:color="auto" w:fill="auto"/>
          </w:tcPr>
          <w:p w:rsidR="0067500E" w:rsidRDefault="00972D11">
            <w:pPr>
              <w:suppressAutoHyphens/>
            </w:pPr>
            <w:r>
              <w:rPr>
                <w:sz w:val="28"/>
                <w:szCs w:val="28"/>
              </w:rPr>
              <w:t>________________   № ____________</w:t>
            </w:r>
          </w:p>
          <w:p w:rsidR="0067500E" w:rsidRDefault="00972D11">
            <w:pPr>
              <w:suppressAutoHyphens/>
            </w:pPr>
            <w:r>
              <w:rPr>
                <w:sz w:val="28"/>
                <w:szCs w:val="28"/>
              </w:rPr>
              <w:t>На № ___________   от ____________</w:t>
            </w:r>
          </w:p>
          <w:p w:rsidR="0067500E" w:rsidRDefault="0067500E">
            <w:pPr>
              <w:ind w:hanging="142"/>
            </w:pPr>
          </w:p>
          <w:p w:rsidR="0067500E" w:rsidRDefault="00972D11" w:rsidP="00461127">
            <w:r>
              <w:rPr>
                <w:sz w:val="22"/>
                <w:szCs w:val="22"/>
              </w:rPr>
              <w:t>О сроках, формах и продолжительности проведения государственной итоговой аттестации в разных формах выпускников общеобразовательных организаций на территории Московской области в 2018 году</w:t>
            </w:r>
          </w:p>
          <w:p w:rsidR="0067500E" w:rsidRDefault="0067500E">
            <w:pPr>
              <w:suppressAutoHyphens/>
              <w:ind w:hanging="142"/>
            </w:pPr>
          </w:p>
          <w:p w:rsidR="0067500E" w:rsidRDefault="0067500E">
            <w:pPr>
              <w:suppressAutoHyphens/>
              <w:ind w:left="142"/>
              <w:rPr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67500E" w:rsidRDefault="00972D11">
            <w:pPr>
              <w:tabs>
                <w:tab w:val="left" w:pos="4678"/>
                <w:tab w:val="left" w:pos="524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67500E" w:rsidRDefault="00972D1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самоуправления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500E" w:rsidRDefault="00972D1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 Московской области,</w:t>
            </w:r>
          </w:p>
          <w:p w:rsidR="0067500E" w:rsidRDefault="00972D11">
            <w:pPr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управление</w:t>
            </w:r>
          </w:p>
          <w:p w:rsidR="0067500E" w:rsidRDefault="00972D11">
            <w:pPr>
              <w:ind w:left="142"/>
            </w:pPr>
            <w:r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67500E" w:rsidRDefault="0067500E">
      <w:pPr>
        <w:pStyle w:val="20"/>
        <w:spacing w:after="0" w:line="240" w:lineRule="auto"/>
        <w:ind w:left="142" w:firstLine="567"/>
        <w:jc w:val="both"/>
        <w:rPr>
          <w:color w:val="000000"/>
          <w:sz w:val="28"/>
          <w:szCs w:val="28"/>
        </w:rPr>
      </w:pPr>
    </w:p>
    <w:p w:rsidR="0067500E" w:rsidRDefault="0067500E">
      <w:pPr>
        <w:pStyle w:val="20"/>
        <w:spacing w:after="0" w:line="240" w:lineRule="auto"/>
        <w:ind w:left="142" w:firstLine="567"/>
        <w:jc w:val="both"/>
        <w:rPr>
          <w:color w:val="000000"/>
          <w:sz w:val="28"/>
          <w:szCs w:val="28"/>
        </w:rPr>
      </w:pP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Государственная итоговая аттестация по образовательным программам основного общего и среднего общего образования на территории Московской области в 2018 году проводится в соответствии с федеральными и региональными нормативными правовыми актами и инструктивно-методическими рекомендациями досрочно, в основные и дополнительные сроки по завершении учебного года в виде письменных и устных экзаменов, а также с использованием </w:t>
      </w:r>
      <w:r>
        <w:rPr>
          <w:color w:val="000000"/>
          <w:sz w:val="28"/>
          <w:szCs w:val="28"/>
        </w:rPr>
        <w:t>заданий стандартизированной формы (контрольных измерительных материалов).</w:t>
      </w:r>
    </w:p>
    <w:p w:rsidR="0067500E" w:rsidRDefault="00972D11">
      <w:pPr>
        <w:pStyle w:val="ac"/>
        <w:spacing w:line="276" w:lineRule="auto"/>
        <w:ind w:firstLine="709"/>
        <w:jc w:val="both"/>
      </w:pPr>
      <w:r>
        <w:rPr>
          <w:szCs w:val="28"/>
        </w:rPr>
        <w:t>Сроки и формы проведения государственной итоговой аттестации                                  по образовательным программам основного общего и среднего общего образования определены в соответствии со следующими нормативными правовыми документами федерального уровня:</w:t>
      </w:r>
    </w:p>
    <w:p w:rsidR="0067500E" w:rsidRDefault="00972D11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Cs w:val="28"/>
        </w:rPr>
        <w:t>Порядком проведения государственной итоговой аттестации                                   по образовательным программам среднего общего образования, утвержденным приказом Министерства образования и науки Российской Федерации от 26.12.2013                  № 1400 (с последующими изменениями);</w:t>
      </w:r>
    </w:p>
    <w:p w:rsidR="0067500E" w:rsidRDefault="00972D11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Cs w:val="28"/>
        </w:rPr>
        <w:t>Порядком проведения государственной итоговой аттестации                                       по образовательным программам основного общего образования, утвержденным приказом Министерства образования и науки Российской Федерации от 25.12.2013                   № 1394 (с последующими изменениями);</w:t>
      </w:r>
    </w:p>
    <w:p w:rsidR="0067500E" w:rsidRDefault="00972D11">
      <w:pPr>
        <w:pStyle w:val="ac"/>
        <w:spacing w:line="276" w:lineRule="auto"/>
        <w:ind w:firstLine="709"/>
        <w:jc w:val="both"/>
      </w:pPr>
      <w:r>
        <w:rPr>
          <w:rFonts w:ascii="Symbol" w:eastAsia="Symbol" w:hAnsi="Symbol" w:cs="Symbol"/>
          <w:szCs w:val="28"/>
        </w:rPr>
        <w:lastRenderedPageBreak/>
        <w:t></w:t>
      </w:r>
      <w:r>
        <w:rPr>
          <w:szCs w:val="28"/>
        </w:rPr>
        <w:t xml:space="preserve">приказом Министерства образования и науки Российской Федерации                          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году»; </w:t>
      </w:r>
    </w:p>
    <w:p w:rsidR="0067500E" w:rsidRDefault="00972D11">
      <w:pPr>
        <w:pStyle w:val="ac"/>
        <w:spacing w:line="276" w:lineRule="auto"/>
        <w:ind w:firstLine="709"/>
        <w:jc w:val="both"/>
      </w:pPr>
      <w:r>
        <w:rPr>
          <w:rFonts w:ascii="Symbol" w:eastAsia="Symbol" w:hAnsi="Symbol" w:cs="Symbol"/>
          <w:szCs w:val="28"/>
        </w:rPr>
        <w:t></w:t>
      </w:r>
      <w:r>
        <w:rPr>
          <w:szCs w:val="28"/>
        </w:rPr>
        <w:t>приказом Министерства образования и науки Российской Федерации                            от 10.11.2017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году»;</w:t>
      </w:r>
    </w:p>
    <w:p w:rsidR="0067500E" w:rsidRDefault="00972D11">
      <w:pPr>
        <w:pStyle w:val="ac"/>
        <w:spacing w:line="276" w:lineRule="auto"/>
        <w:ind w:firstLine="709"/>
        <w:jc w:val="both"/>
      </w:pPr>
      <w:r>
        <w:rPr>
          <w:rFonts w:ascii="Symbol" w:eastAsia="Symbol" w:hAnsi="Symbol" w:cs="Symbol"/>
          <w:szCs w:val="28"/>
        </w:rPr>
        <w:t></w:t>
      </w:r>
      <w:r>
        <w:rPr>
          <w:szCs w:val="28"/>
        </w:rPr>
        <w:t>приказом Министерства образования и науки Российской Федерации                           от 10.11.2017 №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году».</w:t>
      </w:r>
    </w:p>
    <w:p w:rsidR="0067500E" w:rsidRDefault="00972D11">
      <w:pPr>
        <w:pStyle w:val="ac"/>
        <w:tabs>
          <w:tab w:val="left" w:pos="993"/>
        </w:tabs>
        <w:spacing w:line="276" w:lineRule="auto"/>
        <w:ind w:firstLine="709"/>
        <w:jc w:val="both"/>
      </w:pPr>
      <w:r>
        <w:rPr>
          <w:szCs w:val="28"/>
        </w:rPr>
        <w:t xml:space="preserve">Экзамены по всем учебным предметам начинаются в </w:t>
      </w:r>
      <w:r>
        <w:rPr>
          <w:b/>
          <w:szCs w:val="28"/>
        </w:rPr>
        <w:t>10.00</w:t>
      </w:r>
      <w:r>
        <w:rPr>
          <w:szCs w:val="28"/>
        </w:rPr>
        <w:t xml:space="preserve"> по московскому времени.</w:t>
      </w:r>
    </w:p>
    <w:p w:rsidR="0067500E" w:rsidRDefault="00972D11">
      <w:pPr>
        <w:pStyle w:val="ac"/>
        <w:tabs>
          <w:tab w:val="left" w:pos="993"/>
        </w:tabs>
        <w:spacing w:line="276" w:lineRule="auto"/>
        <w:ind w:left="709" w:firstLine="0"/>
        <w:jc w:val="both"/>
      </w:pPr>
      <w:r>
        <w:rPr>
          <w:szCs w:val="28"/>
        </w:rPr>
        <w:t xml:space="preserve">Продолжительность </w:t>
      </w:r>
      <w:r>
        <w:rPr>
          <w:b/>
          <w:szCs w:val="28"/>
        </w:rPr>
        <w:t>ЕГЭ</w:t>
      </w:r>
      <w:r>
        <w:rPr>
          <w:szCs w:val="28"/>
        </w:rPr>
        <w:t xml:space="preserve"> составляет:</w:t>
      </w:r>
    </w:p>
    <w:p w:rsidR="0067500E" w:rsidRDefault="00972D11">
      <w:pPr>
        <w:pStyle w:val="ac"/>
        <w:tabs>
          <w:tab w:val="left" w:pos="993"/>
        </w:tabs>
        <w:spacing w:line="276" w:lineRule="auto"/>
        <w:ind w:firstLine="709"/>
        <w:jc w:val="both"/>
      </w:pPr>
      <w:r>
        <w:rPr>
          <w:szCs w:val="28"/>
        </w:rPr>
        <w:t>по математике (профильный уровень), физике, литературе, информатике</w:t>
      </w:r>
      <w:r>
        <w:rPr>
          <w:szCs w:val="28"/>
        </w:rPr>
        <w:br/>
        <w:t>и ИКТ, обществознанию, истории – 3 часа 55 минут (235 минут);</w:t>
      </w:r>
    </w:p>
    <w:p w:rsidR="0067500E" w:rsidRDefault="00972D11">
      <w:pPr>
        <w:pStyle w:val="ac"/>
        <w:tabs>
          <w:tab w:val="left" w:pos="993"/>
        </w:tabs>
        <w:spacing w:line="276" w:lineRule="auto"/>
        <w:ind w:firstLine="709"/>
        <w:jc w:val="both"/>
      </w:pPr>
      <w:r>
        <w:rPr>
          <w:szCs w:val="28"/>
        </w:rPr>
        <w:t>по русскому языку, химии, биологии – 3 часа 30 минут (210 минут);</w:t>
      </w:r>
    </w:p>
    <w:p w:rsidR="0067500E" w:rsidRDefault="00972D11">
      <w:pPr>
        <w:pStyle w:val="ac"/>
        <w:tabs>
          <w:tab w:val="left" w:pos="993"/>
        </w:tabs>
        <w:spacing w:line="276" w:lineRule="auto"/>
        <w:ind w:firstLine="709"/>
        <w:jc w:val="both"/>
      </w:pPr>
      <w:r>
        <w:rPr>
          <w:szCs w:val="28"/>
        </w:rPr>
        <w:t>по математике (</w:t>
      </w:r>
      <w:proofErr w:type="gramStart"/>
      <w:r>
        <w:rPr>
          <w:szCs w:val="28"/>
        </w:rPr>
        <w:t>базовый</w:t>
      </w:r>
      <w:proofErr w:type="gramEnd"/>
      <w:r>
        <w:rPr>
          <w:szCs w:val="28"/>
        </w:rPr>
        <w:t xml:space="preserve"> уровень), географии, иностранным языкам (кроме раздела «Говорение) – 3 часа (180 минут);</w:t>
      </w:r>
    </w:p>
    <w:p w:rsidR="0067500E" w:rsidRDefault="00972D11">
      <w:pPr>
        <w:pStyle w:val="ac"/>
        <w:tabs>
          <w:tab w:val="left" w:pos="993"/>
        </w:tabs>
        <w:spacing w:line="276" w:lineRule="auto"/>
        <w:ind w:firstLine="709"/>
        <w:jc w:val="both"/>
      </w:pPr>
      <w:r>
        <w:rPr>
          <w:szCs w:val="28"/>
        </w:rPr>
        <w:t>по иностранным языкам (раздел «Говорение») – 15 минут.</w:t>
      </w:r>
    </w:p>
    <w:p w:rsidR="0067500E" w:rsidRDefault="0067500E">
      <w:pPr>
        <w:pStyle w:val="ac"/>
        <w:tabs>
          <w:tab w:val="left" w:pos="993"/>
        </w:tabs>
        <w:spacing w:line="276" w:lineRule="auto"/>
        <w:ind w:left="709" w:firstLine="0"/>
        <w:jc w:val="both"/>
        <w:rPr>
          <w:szCs w:val="28"/>
        </w:rPr>
      </w:pPr>
    </w:p>
    <w:p w:rsidR="0067500E" w:rsidRDefault="00972D11">
      <w:pPr>
        <w:pStyle w:val="ac"/>
        <w:tabs>
          <w:tab w:val="left" w:pos="993"/>
        </w:tabs>
        <w:spacing w:line="276" w:lineRule="auto"/>
        <w:ind w:left="709" w:firstLine="0"/>
        <w:jc w:val="both"/>
      </w:pPr>
      <w:r>
        <w:rPr>
          <w:szCs w:val="28"/>
        </w:rPr>
        <w:t xml:space="preserve">Продолжительность </w:t>
      </w:r>
      <w:r>
        <w:rPr>
          <w:b/>
          <w:szCs w:val="28"/>
        </w:rPr>
        <w:t>ОГЭ</w:t>
      </w:r>
      <w:r>
        <w:rPr>
          <w:szCs w:val="28"/>
        </w:rPr>
        <w:t xml:space="preserve"> составляет:</w:t>
      </w:r>
    </w:p>
    <w:p w:rsidR="0067500E" w:rsidRDefault="00972D11">
      <w:pPr>
        <w:pStyle w:val="ac"/>
        <w:tabs>
          <w:tab w:val="left" w:pos="993"/>
        </w:tabs>
        <w:spacing w:line="276" w:lineRule="auto"/>
        <w:ind w:left="709" w:firstLine="0"/>
        <w:jc w:val="both"/>
      </w:pPr>
      <w:r>
        <w:rPr>
          <w:szCs w:val="28"/>
        </w:rPr>
        <w:t xml:space="preserve">по математике, русскому языку, литературе –  3 часа 55 минут (235 минут); 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физике, обществознанию, истории, биологии – 3 часа (180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информатике и ИКТ – 2 часа 30 минут (150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химии (с выполнением лабораторной работы) – 2 часа 20 минут</w:t>
      </w:r>
      <w:r>
        <w:rPr>
          <w:sz w:val="28"/>
          <w:szCs w:val="28"/>
        </w:rPr>
        <w:br/>
        <w:t>(140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географии, иностранным языкам (кроме раздела «Говорение») – 2 часа (120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иностранным языкам (раздел «Говорение») – 15 минут.</w:t>
      </w:r>
    </w:p>
    <w:p w:rsidR="0067500E" w:rsidRDefault="0067500E">
      <w:pPr>
        <w:spacing w:line="276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Продолжительность </w:t>
      </w:r>
      <w:r>
        <w:rPr>
          <w:b/>
          <w:sz w:val="28"/>
          <w:szCs w:val="28"/>
        </w:rPr>
        <w:t>ГВЭ-9</w:t>
      </w:r>
      <w:r>
        <w:rPr>
          <w:sz w:val="28"/>
          <w:szCs w:val="28"/>
        </w:rPr>
        <w:t xml:space="preserve"> составляет: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по математике, русскому языку – 3 часа 55 минут (235 минут); 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по обществознанию – 3 часа 30 минут (210 минут); 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биологии, литературе – 3 часа (180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истории, химии, физике, географии, иностранным языкам, информатике</w:t>
      </w:r>
      <w:r>
        <w:rPr>
          <w:sz w:val="28"/>
          <w:szCs w:val="28"/>
        </w:rPr>
        <w:br/>
        <w:t>и ИКТ – 2 часа 30 минут (150 минут).</w:t>
      </w:r>
    </w:p>
    <w:p w:rsidR="0067500E" w:rsidRDefault="0067500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Продолжительность </w:t>
      </w:r>
      <w:r>
        <w:rPr>
          <w:b/>
          <w:sz w:val="28"/>
          <w:szCs w:val="28"/>
        </w:rPr>
        <w:t>ГВЭ – 11</w:t>
      </w:r>
      <w:r>
        <w:rPr>
          <w:sz w:val="28"/>
          <w:szCs w:val="28"/>
        </w:rPr>
        <w:t xml:space="preserve"> составляет: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математике, русскому языку, о</w:t>
      </w:r>
      <w:r>
        <w:rPr>
          <w:color w:val="000000"/>
          <w:sz w:val="28"/>
          <w:szCs w:val="28"/>
        </w:rPr>
        <w:t xml:space="preserve">бществознанию </w:t>
      </w:r>
      <w:r>
        <w:rPr>
          <w:sz w:val="28"/>
          <w:szCs w:val="28"/>
        </w:rPr>
        <w:t>– 3 часа 55 минут</w:t>
      </w:r>
      <w:r>
        <w:rPr>
          <w:sz w:val="28"/>
          <w:szCs w:val="28"/>
        </w:rPr>
        <w:br/>
        <w:t>(235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физике, иностранным языкам – 3 часа 30 минут (210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биологии, истории, литературе – 3 часа (180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географии – 2 часа 30 минут (150 минут);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по химии, информатике и ИКТ – 2 часа (120 минут).</w:t>
      </w:r>
    </w:p>
    <w:p w:rsidR="0067500E" w:rsidRDefault="0067500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7500E" w:rsidRDefault="00972D11">
      <w:pPr>
        <w:pStyle w:val="3"/>
        <w:spacing w:line="276" w:lineRule="auto"/>
        <w:ind w:firstLine="709"/>
      </w:pPr>
      <w:r>
        <w:rPr>
          <w:szCs w:val="28"/>
        </w:rPr>
        <w:t xml:space="preserve">При проведении </w:t>
      </w:r>
      <w:r>
        <w:rPr>
          <w:b/>
          <w:szCs w:val="28"/>
        </w:rPr>
        <w:t>ЕГЭ и ГВЭ-11</w:t>
      </w:r>
      <w:r>
        <w:rPr>
          <w:szCs w:val="28"/>
        </w:rPr>
        <w:t xml:space="preserve"> используются следующие средства обучения и воспитания: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- линейка; 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физике</w:t>
      </w:r>
      <w:r>
        <w:rPr>
          <w:color w:val="000000"/>
          <w:sz w:val="28"/>
          <w:szCs w:val="28"/>
        </w:rPr>
        <w:t xml:space="preserve"> - линейка и непрограммируемый калькулятор (выполняющий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color w:val="000000"/>
          <w:sz w:val="28"/>
          <w:szCs w:val="28"/>
        </w:rPr>
        <w:t>sin</w:t>
      </w:r>
      <w:proofErr w:type="spellEnd"/>
      <w:r>
        <w:rPr>
          <w:color w:val="000000"/>
          <w:sz w:val="28"/>
          <w:szCs w:val="28"/>
        </w:rPr>
        <w:t xml:space="preserve">, cos, </w:t>
      </w:r>
      <w:proofErr w:type="spellStart"/>
      <w:r>
        <w:rPr>
          <w:color w:val="000000"/>
          <w:sz w:val="28"/>
          <w:szCs w:val="28"/>
        </w:rPr>
        <w:t>tg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ctg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arcsin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arcos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arctg</w:t>
      </w:r>
      <w:proofErr w:type="spellEnd"/>
      <w:r>
        <w:rPr>
          <w:color w:val="000000"/>
          <w:sz w:val="28"/>
          <w:szCs w:val="28"/>
        </w:rPr>
        <w:t xml:space="preserve">) и не осуществляющий функции средства связи, хранилища базы данных, не имеющий доступа к сетям передачи данных (в том числе к сети Интернет); 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химии</w:t>
      </w:r>
      <w:r>
        <w:rPr>
          <w:color w:val="000000"/>
          <w:sz w:val="28"/>
          <w:szCs w:val="28"/>
        </w:rPr>
        <w:t xml:space="preserve"> - непрограммируемый калькулятор; 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географии: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ЕГЭ - линейка, транспортир, непрограммируемый калькулятор;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ГВЭ - непрограммируемый калькулятор.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проведении </w:t>
      </w:r>
      <w:r>
        <w:rPr>
          <w:b/>
          <w:color w:val="000000"/>
          <w:sz w:val="28"/>
          <w:szCs w:val="28"/>
        </w:rPr>
        <w:t>ГВЭ-11</w:t>
      </w:r>
      <w:r>
        <w:rPr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русскому языку</w:t>
      </w:r>
      <w:r>
        <w:rPr>
          <w:color w:val="000000"/>
          <w:sz w:val="28"/>
          <w:szCs w:val="28"/>
        </w:rPr>
        <w:t xml:space="preserve"> используются орфографические и толковые словари.</w:t>
      </w:r>
    </w:p>
    <w:p w:rsidR="0067500E" w:rsidRDefault="00972D11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При проведении </w:t>
      </w:r>
      <w:r>
        <w:rPr>
          <w:b/>
          <w:color w:val="000000"/>
          <w:sz w:val="28"/>
          <w:szCs w:val="28"/>
        </w:rPr>
        <w:t>ОГЭ и</w:t>
      </w:r>
      <w:r>
        <w:rPr>
          <w:b/>
          <w:sz w:val="28"/>
          <w:szCs w:val="28"/>
        </w:rPr>
        <w:t xml:space="preserve"> ГВЭ-9</w:t>
      </w:r>
      <w:r>
        <w:rPr>
          <w:sz w:val="28"/>
          <w:szCs w:val="28"/>
        </w:rPr>
        <w:t xml:space="preserve"> используются следующие средства обучения и воспитания:</w:t>
      </w:r>
    </w:p>
    <w:p w:rsidR="0067500E" w:rsidRDefault="00972D11">
      <w:pPr>
        <w:spacing w:line="276" w:lineRule="auto"/>
        <w:ind w:firstLine="709"/>
        <w:jc w:val="both"/>
        <w:rPr>
          <w:color w:val="FF007F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- линейка;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физике:</w:t>
      </w:r>
    </w:p>
    <w:p w:rsidR="0067500E" w:rsidRDefault="00972D11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ГВЭ - непрограммируемый калькулятор,</w:t>
      </w:r>
      <w:r w:rsidR="003A0F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линейка, лабораторное оборудование;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ОГЭ - непрограммируемый калькулятор, лабораторное оборудование;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химии</w:t>
      </w:r>
      <w:r>
        <w:rPr>
          <w:color w:val="000000"/>
          <w:sz w:val="28"/>
          <w:szCs w:val="28"/>
        </w:rPr>
        <w:t xml:space="preserve"> - непрограммируемый калькулятор, лабораторное оборудование, периодическая система химических элементов Д.И. Менделеева, таблица </w:t>
      </w:r>
      <w:r>
        <w:rPr>
          <w:color w:val="000000"/>
          <w:sz w:val="28"/>
          <w:szCs w:val="28"/>
        </w:rPr>
        <w:lastRenderedPageBreak/>
        <w:t>растворимости солей, кислот и оснований в воде, электрохимический ряд напряжений металлов;</w:t>
      </w:r>
    </w:p>
    <w:p w:rsidR="0067500E" w:rsidRDefault="00972D11">
      <w:pPr>
        <w:spacing w:line="276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  <w:r>
        <w:rPr>
          <w:sz w:val="28"/>
          <w:szCs w:val="28"/>
        </w:rPr>
        <w:t xml:space="preserve"> – линейка, непрограммируемый калькулятор;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географии</w:t>
      </w:r>
      <w:r>
        <w:rPr>
          <w:color w:val="000000"/>
          <w:sz w:val="28"/>
          <w:szCs w:val="28"/>
        </w:rPr>
        <w:t xml:space="preserve"> - линейка, непрограммируемый калькулятор, географические атласы для 7, 8, 9 классов;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литературе</w:t>
      </w:r>
      <w:r>
        <w:rPr>
          <w:color w:val="000000"/>
          <w:sz w:val="28"/>
          <w:szCs w:val="28"/>
        </w:rPr>
        <w:t xml:space="preserve"> – полные тексты художественных произведений, сборники лирики;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информатике и ИКТ </w:t>
      </w:r>
      <w:r>
        <w:rPr>
          <w:color w:val="000000"/>
          <w:sz w:val="28"/>
          <w:szCs w:val="28"/>
        </w:rPr>
        <w:t>– компьютерная техника;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иностранным языкам: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ГВЭ – компьютерная техника;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ОГЭ – технические средства, обеспечивающие воспроизведение аудиозаписей на компакт-дисках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), компьютерная техника, гарнитуры</w:t>
      </w:r>
      <w:r>
        <w:rPr>
          <w:color w:val="000000"/>
          <w:sz w:val="28"/>
          <w:szCs w:val="28"/>
        </w:rPr>
        <w:br/>
        <w:t>со встроенными микрофонами.</w:t>
      </w:r>
    </w:p>
    <w:p w:rsidR="0067500E" w:rsidRDefault="0067500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проведении </w:t>
      </w:r>
      <w:r>
        <w:rPr>
          <w:b/>
          <w:color w:val="000000"/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русскому языку</w:t>
      </w:r>
      <w:r>
        <w:rPr>
          <w:color w:val="000000"/>
          <w:sz w:val="28"/>
          <w:szCs w:val="28"/>
        </w:rPr>
        <w:t xml:space="preserve"> используются орфографические словари;</w:t>
      </w:r>
    </w:p>
    <w:p w:rsidR="0067500E" w:rsidRDefault="00972D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проведении </w:t>
      </w:r>
      <w:r>
        <w:rPr>
          <w:b/>
          <w:color w:val="000000"/>
          <w:sz w:val="28"/>
          <w:szCs w:val="28"/>
        </w:rPr>
        <w:t>ГВЭ – 9</w:t>
      </w:r>
      <w:r>
        <w:rPr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русскому языку</w:t>
      </w:r>
      <w:r>
        <w:rPr>
          <w:color w:val="000000"/>
          <w:sz w:val="28"/>
          <w:szCs w:val="28"/>
        </w:rPr>
        <w:t xml:space="preserve"> используются орфографические и толковые словари. </w:t>
      </w:r>
    </w:p>
    <w:p w:rsidR="0067500E" w:rsidRDefault="0067500E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p w:rsidR="0067500E" w:rsidRDefault="00972D11">
      <w:pPr>
        <w:pStyle w:val="3"/>
        <w:spacing w:line="276" w:lineRule="auto"/>
        <w:ind w:firstLine="709"/>
      </w:pPr>
      <w:proofErr w:type="gramStart"/>
      <w:r>
        <w:rPr>
          <w:szCs w:val="28"/>
        </w:rPr>
        <w:t xml:space="preserve">При проведении государственной итоговой аттестации по образовательным программам основного общего образования в форме </w:t>
      </w:r>
      <w:r>
        <w:rPr>
          <w:b/>
          <w:szCs w:val="28"/>
        </w:rPr>
        <w:t>ОГЭ</w:t>
      </w:r>
      <w:r>
        <w:rPr>
          <w:szCs w:val="28"/>
        </w:rPr>
        <w:t xml:space="preserve"> (в соответствии</w:t>
      </w:r>
      <w:r>
        <w:rPr>
          <w:szCs w:val="28"/>
        </w:rPr>
        <w:br/>
        <w:t>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</w:t>
      </w:r>
      <w:r>
        <w:rPr>
          <w:szCs w:val="28"/>
        </w:rPr>
        <w:br/>
        <w:t>и спецификациями контрольных измерительных материалов для проведения</w:t>
      </w:r>
      <w:r>
        <w:rPr>
          <w:szCs w:val="28"/>
        </w:rPr>
        <w:br/>
        <w:t>в 2018 году основного государственного экзамена по учебным предметам, утвержденными</w:t>
      </w:r>
      <w:r>
        <w:rPr>
          <w:color w:val="000000"/>
          <w:szCs w:val="28"/>
        </w:rPr>
        <w:t xml:space="preserve"> директором ФГБНУ «ФИПИ» 10.11.2017</w:t>
      </w:r>
      <w:proofErr w:type="gramEnd"/>
      <w:r>
        <w:rPr>
          <w:color w:val="000000"/>
          <w:szCs w:val="28"/>
        </w:rPr>
        <w:t>) следует учитывать: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 xml:space="preserve">русский язык </w:t>
      </w:r>
      <w:r>
        <w:rPr>
          <w:szCs w:val="28"/>
        </w:rPr>
        <w:t>– на экзамене в аудиторию не допускаются специалисты – филологи, организатором проведения экзамена должен быть педагог,</w:t>
      </w:r>
      <w:r>
        <w:rPr>
          <w:szCs w:val="28"/>
        </w:rPr>
        <w:br/>
        <w:t>не преподающий русский язык и литературу;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математика</w:t>
      </w:r>
      <w:r>
        <w:rPr>
          <w:szCs w:val="28"/>
        </w:rPr>
        <w:t xml:space="preserve"> – на экзамене в аудиторию не допускаются специалисты</w:t>
      </w:r>
      <w:r>
        <w:rPr>
          <w:szCs w:val="28"/>
        </w:rPr>
        <w:br/>
        <w:t>по данному учебному предмету;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история</w:t>
      </w:r>
      <w:r>
        <w:rPr>
          <w:szCs w:val="28"/>
        </w:rPr>
        <w:t xml:space="preserve"> - на экзамене в аудиторию не допускаются специалисты по данному учебному предмету;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обществознание</w:t>
      </w:r>
      <w:r>
        <w:rPr>
          <w:szCs w:val="28"/>
        </w:rPr>
        <w:t xml:space="preserve"> - на экзамене в аудиторию не допускаются специалисты</w:t>
      </w:r>
      <w:r>
        <w:rPr>
          <w:szCs w:val="28"/>
        </w:rPr>
        <w:br/>
        <w:t>по данному учебному предмету;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физика</w:t>
      </w:r>
      <w:r>
        <w:rPr>
          <w:szCs w:val="28"/>
        </w:rPr>
        <w:t xml:space="preserve"> – экзамен проводится в кабинетах физики,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работы;</w:t>
      </w:r>
    </w:p>
    <w:p w:rsidR="0067500E" w:rsidRDefault="00972D11">
      <w:pPr>
        <w:pStyle w:val="3"/>
        <w:spacing w:line="276" w:lineRule="auto"/>
        <w:ind w:firstLine="709"/>
      </w:pPr>
      <w:proofErr w:type="gramStart"/>
      <w:r>
        <w:rPr>
          <w:szCs w:val="28"/>
        </w:rPr>
        <w:lastRenderedPageBreak/>
        <w:t>на экзамене присутствует специалист по физике, не являющийся учителем обучающихся, сдающих экзамен в данном ППЭ, который проводит перед экзаменом инструктаж по технике безопасности и следит за соблюдением правил безопасного труда во время работы с лабораторным оборудовани</w:t>
      </w:r>
      <w:r>
        <w:rPr>
          <w:color w:val="000000"/>
          <w:szCs w:val="28"/>
        </w:rPr>
        <w:t>ем (примерная инструкция по технике безопасности приведена в Приложении 3 к Спецификации контрольных измерительных материалов для проведения в 2018 году ОГЭ</w:t>
      </w:r>
      <w:r>
        <w:rPr>
          <w:color w:val="000000"/>
          <w:szCs w:val="28"/>
        </w:rPr>
        <w:br/>
        <w:t>по физике);</w:t>
      </w:r>
      <w:proofErr w:type="gramEnd"/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химия</w:t>
      </w:r>
      <w:r>
        <w:rPr>
          <w:szCs w:val="28"/>
        </w:rPr>
        <w:t xml:space="preserve"> – проведение лабораторной работы осуществляется в специальном                  помещении – химической лаборатории, оборудование которой должно отвечать требованиям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. Подготовку и выдачу лабораторных комплектов осуществляют специалисты, для оценки проведения химического эксперимента</w:t>
      </w:r>
      <w:r>
        <w:rPr>
          <w:szCs w:val="28"/>
        </w:rPr>
        <w:br/>
        <w:t>в аудиторию должны обязательно приглашаться эксперты.</w:t>
      </w:r>
    </w:p>
    <w:p w:rsidR="0067500E" w:rsidRDefault="00972D11">
      <w:pPr>
        <w:pStyle w:val="3"/>
        <w:spacing w:line="276" w:lineRule="auto"/>
        <w:ind w:firstLine="709"/>
      </w:pPr>
      <w:proofErr w:type="gramStart"/>
      <w:r>
        <w:rPr>
          <w:szCs w:val="28"/>
        </w:rPr>
        <w:t>В качестве специалистов по проведению инструктажа и обеспечению выполнения лабораторных работ, а также экспертов, оценивающих выполнение лабораторных работ, не допускается привлекать работников образовательных организаций, являющихся учителями обучающихся, сдающих экзамен в данном ППЭ;</w:t>
      </w:r>
      <w:proofErr w:type="gramEnd"/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география</w:t>
      </w:r>
      <w:r>
        <w:rPr>
          <w:szCs w:val="28"/>
        </w:rPr>
        <w:t xml:space="preserve"> – на экзамене в аудиторию не допускаются специалисты</w:t>
      </w:r>
      <w:r>
        <w:rPr>
          <w:szCs w:val="28"/>
        </w:rPr>
        <w:br/>
        <w:t>по данному учебному предмету;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биология</w:t>
      </w:r>
      <w:r>
        <w:rPr>
          <w:szCs w:val="28"/>
        </w:rPr>
        <w:t xml:space="preserve"> – на экзамене в аудиторию не допускаются специалисты</w:t>
      </w:r>
      <w:r>
        <w:rPr>
          <w:szCs w:val="28"/>
        </w:rPr>
        <w:br/>
        <w:t>по данному учебному предмету;</w:t>
      </w:r>
    </w:p>
    <w:p w:rsidR="0067500E" w:rsidRDefault="00972D11">
      <w:pPr>
        <w:pStyle w:val="3"/>
        <w:spacing w:line="276" w:lineRule="auto"/>
        <w:ind w:firstLine="709"/>
      </w:pPr>
      <w:r>
        <w:rPr>
          <w:b/>
          <w:szCs w:val="28"/>
        </w:rPr>
        <w:t>литература</w:t>
      </w:r>
      <w:r>
        <w:rPr>
          <w:szCs w:val="28"/>
        </w:rPr>
        <w:t xml:space="preserve"> - на экзамене в аудиторию не допускаются специалисты</w:t>
      </w:r>
      <w:r>
        <w:rPr>
          <w:szCs w:val="28"/>
        </w:rPr>
        <w:br/>
        <w:t xml:space="preserve">по русскому языку и литературе. Художественные тексты не предоставляются индивидуально каждому участнику экзамена. Экзаменуемые по мере необходимости работают с текстами за отдельными столами, на которых находятся нужные книги. </w:t>
      </w:r>
      <w:proofErr w:type="gramStart"/>
      <w:r>
        <w:rPr>
          <w:szCs w:val="28"/>
        </w:rPr>
        <w:t>Книги следует подготовить в нескольких экземплярах для каждой аудитории (в зависимости от наполнения), чтобы у экзаменуемых не возникло возможности работать с комментариями и вступительными статьями</w:t>
      </w:r>
      <w:r>
        <w:rPr>
          <w:szCs w:val="28"/>
        </w:rPr>
        <w:br/>
        <w:t>к художественным текстам.</w:t>
      </w:r>
      <w:proofErr w:type="gramEnd"/>
    </w:p>
    <w:p w:rsidR="0067500E" w:rsidRDefault="00972D11">
      <w:pPr>
        <w:pStyle w:val="3"/>
        <w:spacing w:line="276" w:lineRule="auto"/>
        <w:ind w:firstLine="709"/>
      </w:pPr>
      <w:proofErr w:type="gramStart"/>
      <w:r>
        <w:rPr>
          <w:b/>
          <w:szCs w:val="28"/>
        </w:rPr>
        <w:t>и</w:t>
      </w:r>
      <w:proofErr w:type="gramEnd"/>
      <w:r>
        <w:rPr>
          <w:b/>
          <w:szCs w:val="28"/>
        </w:rPr>
        <w:t>нформатика и ИКТ</w:t>
      </w:r>
      <w:r>
        <w:rPr>
          <w:szCs w:val="28"/>
        </w:rPr>
        <w:t xml:space="preserve"> – задания части 1 выполняются без использования компьютеров и других технических средств, задания части 2 выполняются</w:t>
      </w:r>
      <w:r>
        <w:rPr>
          <w:szCs w:val="28"/>
        </w:rPr>
        <w:br/>
        <w:t xml:space="preserve">на компьютерах, на которых должны быть установлены знакомые обучающимся программы. </w:t>
      </w:r>
    </w:p>
    <w:p w:rsidR="0067500E" w:rsidRDefault="00972D11">
      <w:pPr>
        <w:spacing w:line="276" w:lineRule="auto"/>
        <w:ind w:firstLine="709"/>
        <w:jc w:val="both"/>
      </w:pPr>
      <w:r>
        <w:rPr>
          <w:b/>
          <w:sz w:val="28"/>
          <w:szCs w:val="28"/>
        </w:rPr>
        <w:t>иностранные языки</w:t>
      </w:r>
      <w:r>
        <w:rPr>
          <w:sz w:val="28"/>
          <w:szCs w:val="28"/>
        </w:rPr>
        <w:t xml:space="preserve"> – каждая аудитория для проведения письменной части ОГЭ по иностранным языкам должна быть оснащена техническими средствами, обеспечивающими качественное воспроизведение аудиозаписей на компакт-дисках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для выполнения заданий раздела 1 «Задания по аудированию».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>Аудитории для проведения устной части экзамена должны быть оснащены компьютерами с предусмотренным специальным программным обеспечением,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также гарнитурами со встроенными микрофонами. Для проведения устной части экзамена могут использоваться лингафонные кабинеты  с соответствующим оборудованием.</w:t>
      </w:r>
    </w:p>
    <w:p w:rsidR="0067500E" w:rsidRDefault="00972D11">
      <w:pPr>
        <w:spacing w:line="276" w:lineRule="auto"/>
        <w:ind w:firstLine="709"/>
        <w:jc w:val="both"/>
        <w:rPr>
          <w:color w:val="FF0000"/>
        </w:rPr>
      </w:pPr>
      <w:proofErr w:type="gramStart"/>
      <w:r>
        <w:rPr>
          <w:color w:val="000000"/>
          <w:sz w:val="28"/>
          <w:szCs w:val="28"/>
        </w:rPr>
        <w:t>Устная</w:t>
      </w:r>
      <w:proofErr w:type="gramEnd"/>
      <w:r>
        <w:rPr>
          <w:color w:val="000000"/>
          <w:sz w:val="28"/>
          <w:szCs w:val="28"/>
        </w:rPr>
        <w:t xml:space="preserve"> часть ОГЭ проводится в соответствии с процедурой и технологией проведения ОГЭ по иностранным языкам с устной частью (ООО «</w:t>
      </w:r>
      <w:proofErr w:type="spellStart"/>
      <w:r>
        <w:rPr>
          <w:color w:val="000000"/>
          <w:sz w:val="28"/>
          <w:szCs w:val="28"/>
        </w:rPr>
        <w:t>Инфокомпас</w:t>
      </w:r>
      <w:proofErr w:type="spellEnd"/>
      <w:r>
        <w:rPr>
          <w:color w:val="000000"/>
          <w:sz w:val="28"/>
          <w:szCs w:val="28"/>
        </w:rPr>
        <w:t>»).</w:t>
      </w:r>
    </w:p>
    <w:p w:rsidR="0067500E" w:rsidRDefault="00972D1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целях соблюдения безопасности проведения государственной итоговой аттестации, в том числе единого государственного экзамена на территории Московской области необходимо разъяснить письмо Министерства образования </w:t>
      </w:r>
      <w:r>
        <w:rPr>
          <w:color w:val="000000"/>
          <w:sz w:val="28"/>
          <w:szCs w:val="28"/>
        </w:rPr>
        <w:t xml:space="preserve">Московской области от 22.01.2018 № </w:t>
      </w:r>
      <w:proofErr w:type="spellStart"/>
      <w:proofErr w:type="gramStart"/>
      <w:r>
        <w:rPr>
          <w:color w:val="000000"/>
          <w:sz w:val="28"/>
          <w:szCs w:val="28"/>
        </w:rPr>
        <w:t>Исх</w:t>
      </w:r>
      <w:proofErr w:type="spellEnd"/>
      <w:proofErr w:type="gramEnd"/>
      <w:r>
        <w:rPr>
          <w:color w:val="000000"/>
          <w:sz w:val="28"/>
          <w:szCs w:val="28"/>
        </w:rPr>
        <w:t xml:space="preserve"> – 661/10а «</w:t>
      </w:r>
      <w:r>
        <w:rPr>
          <w:bCs/>
          <w:color w:val="000000"/>
          <w:sz w:val="28"/>
          <w:szCs w:val="28"/>
        </w:rPr>
        <w:t>Об ответственности лиц, привлекаемых к проведению ГИА на территории Московской области в 2018 году».</w:t>
      </w:r>
    </w:p>
    <w:tbl>
      <w:tblPr>
        <w:tblW w:w="10033" w:type="dxa"/>
        <w:tblCellMar>
          <w:left w:w="0" w:type="dxa"/>
          <w:right w:w="0" w:type="dxa"/>
        </w:tblCellMar>
        <w:tblLook w:val="06A0"/>
      </w:tblPr>
      <w:tblGrid>
        <w:gridCol w:w="2098"/>
        <w:gridCol w:w="7935"/>
      </w:tblGrid>
      <w:tr w:rsidR="0067500E">
        <w:trPr>
          <w:cantSplit/>
          <w:trHeight w:val="255"/>
        </w:trPr>
        <w:tc>
          <w:tcPr>
            <w:tcW w:w="2098" w:type="dxa"/>
            <w:shd w:val="clear" w:color="auto" w:fill="auto"/>
          </w:tcPr>
          <w:p w:rsidR="0067500E" w:rsidRDefault="0067500E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67500E" w:rsidRDefault="00972D11">
            <w:pPr>
              <w:spacing w:before="120" w:after="120"/>
              <w:ind w:firstLine="340"/>
              <w:jc w:val="both"/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934" w:type="dxa"/>
            <w:shd w:val="clear" w:color="auto" w:fill="auto"/>
          </w:tcPr>
          <w:p w:rsidR="0067500E" w:rsidRDefault="0067500E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67500E" w:rsidRDefault="00972D11">
            <w:pPr>
              <w:pStyle w:val="ad"/>
              <w:numPr>
                <w:ilvl w:val="0"/>
                <w:numId w:val="2"/>
              </w:numPr>
              <w:spacing w:before="120" w:after="120"/>
              <w:jc w:val="both"/>
            </w:pPr>
            <w:r>
              <w:rPr>
                <w:sz w:val="28"/>
                <w:szCs w:val="28"/>
              </w:rPr>
              <w:t>Сроки проведения ГИА в основной период на 2л. в 1 экз.</w:t>
            </w:r>
          </w:p>
          <w:p w:rsidR="0067500E" w:rsidRDefault="00972D11">
            <w:pPr>
              <w:pStyle w:val="ad"/>
              <w:numPr>
                <w:ilvl w:val="0"/>
                <w:numId w:val="2"/>
              </w:numPr>
            </w:pPr>
            <w:r>
              <w:rPr>
                <w:bCs/>
                <w:sz w:val="28"/>
                <w:szCs w:val="28"/>
              </w:rPr>
              <w:t>Сроки проведения ГИА-11  в дополнительный период (сентябрьские сроки) на 1 л. в 1 экз.</w:t>
            </w:r>
          </w:p>
          <w:p w:rsidR="0067500E" w:rsidRDefault="00972D11">
            <w:pPr>
              <w:pStyle w:val="ad"/>
              <w:numPr>
                <w:ilvl w:val="0"/>
                <w:numId w:val="2"/>
              </w:numPr>
            </w:pPr>
            <w:r>
              <w:rPr>
                <w:bCs/>
                <w:sz w:val="28"/>
                <w:szCs w:val="28"/>
              </w:rPr>
              <w:t>Сроки проведения ГИА-9  в дополнительный период (сентябрьские сроки) на 1 л. в 1 экз.</w:t>
            </w:r>
          </w:p>
          <w:p w:rsidR="0067500E" w:rsidRDefault="0067500E">
            <w:pPr>
              <w:pStyle w:val="ad"/>
              <w:ind w:left="927"/>
            </w:pPr>
          </w:p>
        </w:tc>
      </w:tr>
    </w:tbl>
    <w:p w:rsidR="0067500E" w:rsidRDefault="0067500E"/>
    <w:p w:rsidR="0067500E" w:rsidRDefault="0067500E"/>
    <w:p w:rsidR="0067500E" w:rsidRDefault="0067500E">
      <w:pPr>
        <w:rPr>
          <w:sz w:val="28"/>
          <w:szCs w:val="28"/>
        </w:rPr>
      </w:pPr>
    </w:p>
    <w:p w:rsidR="0067500E" w:rsidRDefault="00972D11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образования</w:t>
      </w:r>
    </w:p>
    <w:p w:rsidR="0067500E" w:rsidRDefault="00972D11"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Д. А.</w:t>
      </w:r>
      <w:proofErr w:type="gramEnd"/>
      <w:r>
        <w:rPr>
          <w:sz w:val="28"/>
          <w:szCs w:val="28"/>
        </w:rPr>
        <w:t xml:space="preserve"> Шумский</w:t>
      </w:r>
    </w:p>
    <w:sectPr w:rsidR="0067500E" w:rsidSect="0067500E">
      <w:headerReference w:type="default" r:id="rId11"/>
      <w:pgSz w:w="12240" w:h="15840"/>
      <w:pgMar w:top="510" w:right="964" w:bottom="510" w:left="1247" w:header="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11" w:rsidRDefault="00972D11" w:rsidP="0067500E">
      <w:r>
        <w:separator/>
      </w:r>
    </w:p>
  </w:endnote>
  <w:endnote w:type="continuationSeparator" w:id="1">
    <w:p w:rsidR="00972D11" w:rsidRDefault="00972D11" w:rsidP="0067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11" w:rsidRDefault="00972D11" w:rsidP="0067500E">
      <w:r>
        <w:separator/>
      </w:r>
    </w:p>
  </w:footnote>
  <w:footnote w:type="continuationSeparator" w:id="1">
    <w:p w:rsidR="00972D11" w:rsidRDefault="00972D11" w:rsidP="0067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38434"/>
      <w:docPartObj>
        <w:docPartGallery w:val="Page Numbers (Top of Page)"/>
        <w:docPartUnique/>
      </w:docPartObj>
    </w:sdtPr>
    <w:sdtContent>
      <w:p w:rsidR="0067500E" w:rsidRDefault="0067500E">
        <w:pPr>
          <w:pStyle w:val="Header"/>
          <w:jc w:val="center"/>
        </w:pPr>
      </w:p>
      <w:p w:rsidR="0067500E" w:rsidRDefault="0067500E">
        <w:pPr>
          <w:pStyle w:val="Header"/>
          <w:jc w:val="center"/>
        </w:pPr>
      </w:p>
      <w:p w:rsidR="0067500E" w:rsidRDefault="00B02563">
        <w:pPr>
          <w:pStyle w:val="Header"/>
          <w:jc w:val="center"/>
        </w:pPr>
        <w:r>
          <w:fldChar w:fldCharType="begin"/>
        </w:r>
        <w:r w:rsidR="00972D11">
          <w:instrText>PAGE</w:instrText>
        </w:r>
        <w:r>
          <w:fldChar w:fldCharType="separate"/>
        </w:r>
        <w:r w:rsidR="00461127">
          <w:rPr>
            <w:noProof/>
          </w:rPr>
          <w:t>6</w:t>
        </w:r>
        <w:r>
          <w:fldChar w:fldCharType="end"/>
        </w:r>
      </w:p>
    </w:sdtContent>
  </w:sdt>
  <w:p w:rsidR="0067500E" w:rsidRDefault="00675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B9B"/>
    <w:multiLevelType w:val="multilevel"/>
    <w:tmpl w:val="26889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F57F34"/>
    <w:multiLevelType w:val="multilevel"/>
    <w:tmpl w:val="718ECA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A457F38"/>
    <w:multiLevelType w:val="multilevel"/>
    <w:tmpl w:val="99D621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00E"/>
    <w:rsid w:val="003A0FCB"/>
    <w:rsid w:val="00461127"/>
    <w:rsid w:val="0067500E"/>
    <w:rsid w:val="00972D11"/>
    <w:rsid w:val="00B0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90"/>
    <w:pPr>
      <w:widowControl w:val="0"/>
    </w:pPr>
    <w:rPr>
      <w:rFonts w:eastAsia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05790"/>
    <w:rPr>
      <w:rFonts w:eastAsia="Times New Roman"/>
      <w:sz w:val="20"/>
      <w:szCs w:val="20"/>
      <w:lang w:eastAsia="ru-RU"/>
    </w:rPr>
  </w:style>
  <w:style w:type="character" w:customStyle="1" w:styleId="-">
    <w:name w:val="Интернет-ссылка"/>
    <w:rsid w:val="00B05790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qFormat/>
    <w:rsid w:val="00B05790"/>
    <w:rPr>
      <w:rFonts w:eastAsia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5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5326D"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sid w:val="00E5326D"/>
    <w:rPr>
      <w:rFonts w:cs="Wingdings"/>
    </w:rPr>
  </w:style>
  <w:style w:type="character" w:customStyle="1" w:styleId="ListLabel2">
    <w:name w:val="ListLabel 2"/>
    <w:qFormat/>
    <w:rsid w:val="00E5326D"/>
    <w:rPr>
      <w:rFonts w:cs="Wingdings"/>
    </w:rPr>
  </w:style>
  <w:style w:type="character" w:customStyle="1" w:styleId="ListLabel3">
    <w:name w:val="ListLabel 3"/>
    <w:qFormat/>
    <w:rsid w:val="00E5326D"/>
    <w:rPr>
      <w:rFonts w:cs="Wingdings"/>
    </w:rPr>
  </w:style>
  <w:style w:type="character" w:customStyle="1" w:styleId="ListLabel4">
    <w:name w:val="ListLabel 4"/>
    <w:qFormat/>
    <w:rsid w:val="00E5326D"/>
    <w:rPr>
      <w:rFonts w:cs="Wingdings"/>
    </w:rPr>
  </w:style>
  <w:style w:type="character" w:customStyle="1" w:styleId="ListLabel5">
    <w:name w:val="ListLabel 5"/>
    <w:qFormat/>
    <w:rsid w:val="00E5326D"/>
    <w:rPr>
      <w:rFonts w:cs="Wingdings"/>
    </w:rPr>
  </w:style>
  <w:style w:type="character" w:customStyle="1" w:styleId="ListLabel6">
    <w:name w:val="ListLabel 6"/>
    <w:qFormat/>
    <w:rsid w:val="00E5326D"/>
    <w:rPr>
      <w:rFonts w:cs="Wingdings"/>
    </w:rPr>
  </w:style>
  <w:style w:type="character" w:customStyle="1" w:styleId="ListLabel7">
    <w:name w:val="ListLabel 7"/>
    <w:qFormat/>
    <w:rsid w:val="00E5326D"/>
    <w:rPr>
      <w:rFonts w:cs="Wingdings"/>
    </w:rPr>
  </w:style>
  <w:style w:type="character" w:customStyle="1" w:styleId="ListLabel8">
    <w:name w:val="ListLabel 8"/>
    <w:qFormat/>
    <w:rsid w:val="00E5326D"/>
    <w:rPr>
      <w:rFonts w:cs="Wingdings"/>
    </w:rPr>
  </w:style>
  <w:style w:type="character" w:customStyle="1" w:styleId="ListLabel9">
    <w:name w:val="ListLabel 9"/>
    <w:qFormat/>
    <w:rsid w:val="00E5326D"/>
    <w:rPr>
      <w:rFonts w:cs="Wingdings"/>
    </w:rPr>
  </w:style>
  <w:style w:type="character" w:customStyle="1" w:styleId="ListLabel10">
    <w:name w:val="ListLabel 10"/>
    <w:qFormat/>
    <w:rsid w:val="00E5326D"/>
    <w:rPr>
      <w:rFonts w:cs="Wingdings"/>
    </w:rPr>
  </w:style>
  <w:style w:type="character" w:customStyle="1" w:styleId="ListLabel11">
    <w:name w:val="ListLabel 11"/>
    <w:qFormat/>
    <w:rsid w:val="00E5326D"/>
    <w:rPr>
      <w:rFonts w:cs="Wingdings"/>
    </w:rPr>
  </w:style>
  <w:style w:type="character" w:customStyle="1" w:styleId="ListLabel12">
    <w:name w:val="ListLabel 12"/>
    <w:qFormat/>
    <w:rsid w:val="00E5326D"/>
    <w:rPr>
      <w:rFonts w:cs="Wingdings"/>
    </w:rPr>
  </w:style>
  <w:style w:type="character" w:customStyle="1" w:styleId="ListLabel13">
    <w:name w:val="ListLabel 13"/>
    <w:qFormat/>
    <w:rsid w:val="00E5326D"/>
    <w:rPr>
      <w:rFonts w:cs="Wingdings"/>
    </w:rPr>
  </w:style>
  <w:style w:type="character" w:customStyle="1" w:styleId="ListLabel14">
    <w:name w:val="ListLabel 14"/>
    <w:qFormat/>
    <w:rsid w:val="00E5326D"/>
    <w:rPr>
      <w:rFonts w:cs="Wingdings"/>
    </w:rPr>
  </w:style>
  <w:style w:type="character" w:customStyle="1" w:styleId="ListLabel15">
    <w:name w:val="ListLabel 15"/>
    <w:qFormat/>
    <w:rsid w:val="00E5326D"/>
    <w:rPr>
      <w:rFonts w:cs="Wingdings"/>
    </w:rPr>
  </w:style>
  <w:style w:type="character" w:customStyle="1" w:styleId="ListLabel16">
    <w:name w:val="ListLabel 16"/>
    <w:qFormat/>
    <w:rsid w:val="00E5326D"/>
    <w:rPr>
      <w:rFonts w:cs="Wingdings"/>
    </w:rPr>
  </w:style>
  <w:style w:type="character" w:customStyle="1" w:styleId="ListLabel17">
    <w:name w:val="ListLabel 17"/>
    <w:qFormat/>
    <w:rsid w:val="00E5326D"/>
    <w:rPr>
      <w:rFonts w:cs="Wingdings"/>
    </w:rPr>
  </w:style>
  <w:style w:type="character" w:customStyle="1" w:styleId="ListLabel18">
    <w:name w:val="ListLabel 18"/>
    <w:qFormat/>
    <w:rsid w:val="00E5326D"/>
    <w:rPr>
      <w:rFonts w:cs="Wingdings"/>
    </w:rPr>
  </w:style>
  <w:style w:type="character" w:customStyle="1" w:styleId="ListLabel19">
    <w:name w:val="ListLabel 19"/>
    <w:qFormat/>
    <w:rsid w:val="00E5326D"/>
    <w:rPr>
      <w:rFonts w:cs="Wingdings"/>
    </w:rPr>
  </w:style>
  <w:style w:type="character" w:customStyle="1" w:styleId="ListLabel20">
    <w:name w:val="ListLabel 20"/>
    <w:qFormat/>
    <w:rsid w:val="00E5326D"/>
    <w:rPr>
      <w:rFonts w:cs="Wingdings"/>
    </w:rPr>
  </w:style>
  <w:style w:type="character" w:customStyle="1" w:styleId="ListLabel21">
    <w:name w:val="ListLabel 21"/>
    <w:qFormat/>
    <w:rsid w:val="00E5326D"/>
    <w:rPr>
      <w:rFonts w:cs="Wingdings"/>
    </w:rPr>
  </w:style>
  <w:style w:type="character" w:customStyle="1" w:styleId="ListLabel22">
    <w:name w:val="ListLabel 22"/>
    <w:qFormat/>
    <w:rsid w:val="00E5326D"/>
    <w:rPr>
      <w:rFonts w:cs="Wingdings"/>
    </w:rPr>
  </w:style>
  <w:style w:type="character" w:customStyle="1" w:styleId="ListLabel23">
    <w:name w:val="ListLabel 23"/>
    <w:qFormat/>
    <w:rsid w:val="00E5326D"/>
    <w:rPr>
      <w:rFonts w:cs="Wingdings"/>
    </w:rPr>
  </w:style>
  <w:style w:type="character" w:customStyle="1" w:styleId="ListLabel24">
    <w:name w:val="ListLabel 24"/>
    <w:qFormat/>
    <w:rsid w:val="00E5326D"/>
    <w:rPr>
      <w:rFonts w:cs="Wingdings"/>
    </w:rPr>
  </w:style>
  <w:style w:type="character" w:customStyle="1" w:styleId="ListLabel25">
    <w:name w:val="ListLabel 25"/>
    <w:qFormat/>
    <w:rsid w:val="00E5326D"/>
    <w:rPr>
      <w:rFonts w:cs="Wingdings"/>
    </w:rPr>
  </w:style>
  <w:style w:type="character" w:customStyle="1" w:styleId="ListLabel26">
    <w:name w:val="ListLabel 26"/>
    <w:qFormat/>
    <w:rsid w:val="00E5326D"/>
    <w:rPr>
      <w:rFonts w:cs="Wingdings"/>
    </w:rPr>
  </w:style>
  <w:style w:type="character" w:customStyle="1" w:styleId="ListLabel27">
    <w:name w:val="ListLabel 27"/>
    <w:qFormat/>
    <w:rsid w:val="00E5326D"/>
    <w:rPr>
      <w:rFonts w:cs="Wingdings"/>
    </w:rPr>
  </w:style>
  <w:style w:type="character" w:customStyle="1" w:styleId="ListLabel28">
    <w:name w:val="ListLabel 28"/>
    <w:qFormat/>
    <w:rsid w:val="00E5326D"/>
    <w:rPr>
      <w:rFonts w:cs="Wingdings"/>
    </w:rPr>
  </w:style>
  <w:style w:type="character" w:customStyle="1" w:styleId="ListLabel29">
    <w:name w:val="ListLabel 29"/>
    <w:qFormat/>
    <w:rsid w:val="00E5326D"/>
    <w:rPr>
      <w:rFonts w:cs="Wingdings"/>
    </w:rPr>
  </w:style>
  <w:style w:type="character" w:customStyle="1" w:styleId="ListLabel30">
    <w:name w:val="ListLabel 30"/>
    <w:qFormat/>
    <w:rsid w:val="00E5326D"/>
    <w:rPr>
      <w:rFonts w:cs="Wingdings"/>
    </w:rPr>
  </w:style>
  <w:style w:type="character" w:customStyle="1" w:styleId="ListLabel31">
    <w:name w:val="ListLabel 31"/>
    <w:qFormat/>
    <w:rsid w:val="00E5326D"/>
    <w:rPr>
      <w:rFonts w:cs="Wingdings"/>
    </w:rPr>
  </w:style>
  <w:style w:type="character" w:customStyle="1" w:styleId="ListLabel32">
    <w:name w:val="ListLabel 32"/>
    <w:qFormat/>
    <w:rsid w:val="00E5326D"/>
    <w:rPr>
      <w:rFonts w:cs="Wingdings"/>
    </w:rPr>
  </w:style>
  <w:style w:type="character" w:customStyle="1" w:styleId="ListLabel33">
    <w:name w:val="ListLabel 33"/>
    <w:qFormat/>
    <w:rsid w:val="00E5326D"/>
    <w:rPr>
      <w:rFonts w:cs="Wingdings"/>
    </w:rPr>
  </w:style>
  <w:style w:type="character" w:customStyle="1" w:styleId="ListLabel34">
    <w:name w:val="ListLabel 34"/>
    <w:qFormat/>
    <w:rsid w:val="00E5326D"/>
    <w:rPr>
      <w:rFonts w:cs="Wingdings"/>
    </w:rPr>
  </w:style>
  <w:style w:type="character" w:customStyle="1" w:styleId="ListLabel35">
    <w:name w:val="ListLabel 35"/>
    <w:qFormat/>
    <w:rsid w:val="00E5326D"/>
    <w:rPr>
      <w:rFonts w:cs="Wingdings"/>
    </w:rPr>
  </w:style>
  <w:style w:type="character" w:customStyle="1" w:styleId="ListLabel36">
    <w:name w:val="ListLabel 36"/>
    <w:qFormat/>
    <w:rsid w:val="00E5326D"/>
    <w:rPr>
      <w:rFonts w:cs="Wingdings"/>
    </w:rPr>
  </w:style>
  <w:style w:type="character" w:customStyle="1" w:styleId="ListLabel37">
    <w:name w:val="ListLabel 37"/>
    <w:qFormat/>
    <w:rsid w:val="00E5326D"/>
    <w:rPr>
      <w:rFonts w:cs="Wingdings"/>
    </w:rPr>
  </w:style>
  <w:style w:type="character" w:customStyle="1" w:styleId="ListLabel38">
    <w:name w:val="ListLabel 38"/>
    <w:qFormat/>
    <w:rsid w:val="00E5326D"/>
    <w:rPr>
      <w:rFonts w:cs="Wingdings"/>
    </w:rPr>
  </w:style>
  <w:style w:type="character" w:customStyle="1" w:styleId="ListLabel39">
    <w:name w:val="ListLabel 39"/>
    <w:qFormat/>
    <w:rsid w:val="00E5326D"/>
    <w:rPr>
      <w:rFonts w:cs="Wingdings"/>
    </w:rPr>
  </w:style>
  <w:style w:type="character" w:customStyle="1" w:styleId="ListLabel40">
    <w:name w:val="ListLabel 40"/>
    <w:qFormat/>
    <w:rsid w:val="00E5326D"/>
    <w:rPr>
      <w:rFonts w:cs="Wingdings"/>
    </w:rPr>
  </w:style>
  <w:style w:type="character" w:customStyle="1" w:styleId="ListLabel41">
    <w:name w:val="ListLabel 41"/>
    <w:qFormat/>
    <w:rsid w:val="00E5326D"/>
    <w:rPr>
      <w:rFonts w:cs="Wingdings"/>
    </w:rPr>
  </w:style>
  <w:style w:type="character" w:customStyle="1" w:styleId="ListLabel42">
    <w:name w:val="ListLabel 42"/>
    <w:qFormat/>
    <w:rsid w:val="00E5326D"/>
    <w:rPr>
      <w:rFonts w:cs="Wingdings"/>
    </w:rPr>
  </w:style>
  <w:style w:type="character" w:customStyle="1" w:styleId="ListLabel43">
    <w:name w:val="ListLabel 43"/>
    <w:qFormat/>
    <w:rsid w:val="00E5326D"/>
    <w:rPr>
      <w:rFonts w:cs="Wingdings"/>
    </w:rPr>
  </w:style>
  <w:style w:type="character" w:customStyle="1" w:styleId="ListLabel44">
    <w:name w:val="ListLabel 44"/>
    <w:qFormat/>
    <w:rsid w:val="00E5326D"/>
    <w:rPr>
      <w:rFonts w:cs="Wingdings"/>
    </w:rPr>
  </w:style>
  <w:style w:type="character" w:customStyle="1" w:styleId="ListLabel45">
    <w:name w:val="ListLabel 45"/>
    <w:qFormat/>
    <w:rsid w:val="00E5326D"/>
    <w:rPr>
      <w:rFonts w:cs="Wingdings"/>
    </w:rPr>
  </w:style>
  <w:style w:type="character" w:customStyle="1" w:styleId="ListLabel46">
    <w:name w:val="ListLabel 46"/>
    <w:qFormat/>
    <w:rsid w:val="00236ED6"/>
    <w:rPr>
      <w:rFonts w:cs="Symbol"/>
    </w:rPr>
  </w:style>
  <w:style w:type="character" w:customStyle="1" w:styleId="ListLabel47">
    <w:name w:val="ListLabel 47"/>
    <w:qFormat/>
    <w:rsid w:val="00236ED6"/>
    <w:rPr>
      <w:rFonts w:cs="Wingdings"/>
    </w:rPr>
  </w:style>
  <w:style w:type="character" w:customStyle="1" w:styleId="ListLabel48">
    <w:name w:val="ListLabel 48"/>
    <w:qFormat/>
    <w:rsid w:val="00236ED6"/>
    <w:rPr>
      <w:rFonts w:cs="Wingdings"/>
    </w:rPr>
  </w:style>
  <w:style w:type="character" w:customStyle="1" w:styleId="ListLabel49">
    <w:name w:val="ListLabel 49"/>
    <w:qFormat/>
    <w:rsid w:val="00236ED6"/>
    <w:rPr>
      <w:rFonts w:cs="Symbol"/>
    </w:rPr>
  </w:style>
  <w:style w:type="character" w:customStyle="1" w:styleId="ListLabel50">
    <w:name w:val="ListLabel 50"/>
    <w:qFormat/>
    <w:rsid w:val="00236ED6"/>
    <w:rPr>
      <w:rFonts w:cs="Wingdings"/>
    </w:rPr>
  </w:style>
  <w:style w:type="character" w:customStyle="1" w:styleId="ListLabel51">
    <w:name w:val="ListLabel 51"/>
    <w:qFormat/>
    <w:rsid w:val="00236ED6"/>
    <w:rPr>
      <w:rFonts w:cs="Wingdings"/>
    </w:rPr>
  </w:style>
  <w:style w:type="character" w:customStyle="1" w:styleId="ListLabel52">
    <w:name w:val="ListLabel 52"/>
    <w:qFormat/>
    <w:rsid w:val="00236ED6"/>
    <w:rPr>
      <w:rFonts w:cs="Symbol"/>
    </w:rPr>
  </w:style>
  <w:style w:type="character" w:customStyle="1" w:styleId="ListLabel53">
    <w:name w:val="ListLabel 53"/>
    <w:qFormat/>
    <w:rsid w:val="00236ED6"/>
    <w:rPr>
      <w:rFonts w:cs="Wingdings"/>
    </w:rPr>
  </w:style>
  <w:style w:type="character" w:customStyle="1" w:styleId="ListLabel54">
    <w:name w:val="ListLabel 54"/>
    <w:qFormat/>
    <w:rsid w:val="00236ED6"/>
    <w:rPr>
      <w:rFonts w:cs="Wingdings"/>
    </w:rPr>
  </w:style>
  <w:style w:type="character" w:customStyle="1" w:styleId="1">
    <w:name w:val="Верхний колонтитул Знак1"/>
    <w:basedOn w:val="a0"/>
    <w:uiPriority w:val="99"/>
    <w:semiHidden/>
    <w:qFormat/>
    <w:rsid w:val="007B0F36"/>
    <w:rPr>
      <w:rFonts w:eastAsia="Times New Roman"/>
      <w:color w:val="00000A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B0F36"/>
    <w:rPr>
      <w:rFonts w:eastAsia="Times New Roman"/>
      <w:color w:val="00000A"/>
      <w:szCs w:val="20"/>
      <w:lang w:eastAsia="ru-RU"/>
    </w:rPr>
  </w:style>
  <w:style w:type="character" w:customStyle="1" w:styleId="ListLabel55">
    <w:name w:val="ListLabel 55"/>
    <w:qFormat/>
    <w:rsid w:val="0067500E"/>
    <w:rPr>
      <w:rFonts w:cs="Symbol"/>
    </w:rPr>
  </w:style>
  <w:style w:type="character" w:customStyle="1" w:styleId="ListLabel56">
    <w:name w:val="ListLabel 56"/>
    <w:qFormat/>
    <w:rsid w:val="0067500E"/>
    <w:rPr>
      <w:rFonts w:cs="Wingdings"/>
    </w:rPr>
  </w:style>
  <w:style w:type="character" w:customStyle="1" w:styleId="ListLabel57">
    <w:name w:val="ListLabel 57"/>
    <w:qFormat/>
    <w:rsid w:val="0067500E"/>
    <w:rPr>
      <w:rFonts w:cs="Wingdings"/>
    </w:rPr>
  </w:style>
  <w:style w:type="character" w:customStyle="1" w:styleId="ListLabel58">
    <w:name w:val="ListLabel 58"/>
    <w:qFormat/>
    <w:rsid w:val="0067500E"/>
    <w:rPr>
      <w:rFonts w:cs="Symbol"/>
    </w:rPr>
  </w:style>
  <w:style w:type="character" w:customStyle="1" w:styleId="ListLabel59">
    <w:name w:val="ListLabel 59"/>
    <w:qFormat/>
    <w:rsid w:val="0067500E"/>
    <w:rPr>
      <w:rFonts w:cs="Wingdings"/>
    </w:rPr>
  </w:style>
  <w:style w:type="character" w:customStyle="1" w:styleId="ListLabel60">
    <w:name w:val="ListLabel 60"/>
    <w:qFormat/>
    <w:rsid w:val="0067500E"/>
    <w:rPr>
      <w:rFonts w:cs="Wingdings"/>
    </w:rPr>
  </w:style>
  <w:style w:type="character" w:customStyle="1" w:styleId="ListLabel61">
    <w:name w:val="ListLabel 61"/>
    <w:qFormat/>
    <w:rsid w:val="0067500E"/>
    <w:rPr>
      <w:rFonts w:cs="Symbol"/>
    </w:rPr>
  </w:style>
  <w:style w:type="character" w:customStyle="1" w:styleId="ListLabel62">
    <w:name w:val="ListLabel 62"/>
    <w:qFormat/>
    <w:rsid w:val="0067500E"/>
    <w:rPr>
      <w:rFonts w:cs="Wingdings"/>
    </w:rPr>
  </w:style>
  <w:style w:type="character" w:customStyle="1" w:styleId="ListLabel63">
    <w:name w:val="ListLabel 63"/>
    <w:qFormat/>
    <w:rsid w:val="0067500E"/>
    <w:rPr>
      <w:rFonts w:cs="Wingdings"/>
    </w:rPr>
  </w:style>
  <w:style w:type="character" w:customStyle="1" w:styleId="ListLabel64">
    <w:name w:val="ListLabel 64"/>
    <w:qFormat/>
    <w:rsid w:val="0067500E"/>
    <w:rPr>
      <w:rFonts w:cs="Symbol"/>
    </w:rPr>
  </w:style>
  <w:style w:type="character" w:customStyle="1" w:styleId="ListLabel65">
    <w:name w:val="ListLabel 65"/>
    <w:qFormat/>
    <w:rsid w:val="0067500E"/>
    <w:rPr>
      <w:rFonts w:cs="Wingdings"/>
    </w:rPr>
  </w:style>
  <w:style w:type="character" w:customStyle="1" w:styleId="ListLabel66">
    <w:name w:val="ListLabel 66"/>
    <w:qFormat/>
    <w:rsid w:val="0067500E"/>
    <w:rPr>
      <w:rFonts w:cs="Wingdings"/>
    </w:rPr>
  </w:style>
  <w:style w:type="character" w:customStyle="1" w:styleId="ListLabel67">
    <w:name w:val="ListLabel 67"/>
    <w:qFormat/>
    <w:rsid w:val="0067500E"/>
    <w:rPr>
      <w:rFonts w:cs="Symbol"/>
    </w:rPr>
  </w:style>
  <w:style w:type="character" w:customStyle="1" w:styleId="ListLabel68">
    <w:name w:val="ListLabel 68"/>
    <w:qFormat/>
    <w:rsid w:val="0067500E"/>
    <w:rPr>
      <w:rFonts w:cs="Wingdings"/>
    </w:rPr>
  </w:style>
  <w:style w:type="character" w:customStyle="1" w:styleId="ListLabel69">
    <w:name w:val="ListLabel 69"/>
    <w:qFormat/>
    <w:rsid w:val="0067500E"/>
    <w:rPr>
      <w:rFonts w:cs="Wingdings"/>
    </w:rPr>
  </w:style>
  <w:style w:type="character" w:customStyle="1" w:styleId="ListLabel70">
    <w:name w:val="ListLabel 70"/>
    <w:qFormat/>
    <w:rsid w:val="0067500E"/>
    <w:rPr>
      <w:rFonts w:cs="Symbol"/>
    </w:rPr>
  </w:style>
  <w:style w:type="character" w:customStyle="1" w:styleId="ListLabel71">
    <w:name w:val="ListLabel 71"/>
    <w:qFormat/>
    <w:rsid w:val="0067500E"/>
    <w:rPr>
      <w:rFonts w:cs="Wingdings"/>
    </w:rPr>
  </w:style>
  <w:style w:type="character" w:customStyle="1" w:styleId="ListLabel72">
    <w:name w:val="ListLabel 72"/>
    <w:qFormat/>
    <w:rsid w:val="0067500E"/>
    <w:rPr>
      <w:rFonts w:cs="Wingdings"/>
    </w:rPr>
  </w:style>
  <w:style w:type="paragraph" w:customStyle="1" w:styleId="a6">
    <w:name w:val="Заголовок"/>
    <w:basedOn w:val="a"/>
    <w:next w:val="a7"/>
    <w:qFormat/>
    <w:rsid w:val="00E532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326D"/>
    <w:pPr>
      <w:spacing w:after="140" w:line="288" w:lineRule="auto"/>
    </w:pPr>
  </w:style>
  <w:style w:type="paragraph" w:styleId="a8">
    <w:name w:val="List"/>
    <w:basedOn w:val="a7"/>
    <w:rsid w:val="00E5326D"/>
    <w:rPr>
      <w:rFonts w:cs="Mangal"/>
    </w:rPr>
  </w:style>
  <w:style w:type="paragraph" w:customStyle="1" w:styleId="Caption">
    <w:name w:val="Caption"/>
    <w:basedOn w:val="a"/>
    <w:qFormat/>
    <w:rsid w:val="00E532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5326D"/>
    <w:pPr>
      <w:suppressLineNumbers/>
    </w:pPr>
    <w:rPr>
      <w:rFonts w:cs="Mangal"/>
    </w:rPr>
  </w:style>
  <w:style w:type="paragraph" w:customStyle="1" w:styleId="10">
    <w:name w:val="Обычный1"/>
    <w:link w:val="Header"/>
    <w:qFormat/>
    <w:rsid w:val="00B05790"/>
    <w:pPr>
      <w:widowControl w:val="0"/>
      <w:spacing w:before="120" w:after="120"/>
      <w:ind w:firstLine="567"/>
      <w:jc w:val="both"/>
    </w:pPr>
    <w:rPr>
      <w:rFonts w:eastAsia="Times New Roman"/>
      <w:color w:val="00000A"/>
      <w:szCs w:val="20"/>
      <w:lang w:eastAsia="ru-RU"/>
    </w:rPr>
  </w:style>
  <w:style w:type="paragraph" w:customStyle="1" w:styleId="Header">
    <w:name w:val="Header"/>
    <w:basedOn w:val="a"/>
    <w:link w:val="10"/>
    <w:uiPriority w:val="99"/>
    <w:unhideWhenUsed/>
    <w:rsid w:val="007B0F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B05790"/>
    <w:pPr>
      <w:spacing w:after="120" w:line="480" w:lineRule="auto"/>
      <w:ind w:left="283"/>
    </w:pPr>
  </w:style>
  <w:style w:type="paragraph" w:styleId="aa">
    <w:name w:val="Balloon Text"/>
    <w:basedOn w:val="a"/>
    <w:uiPriority w:val="99"/>
    <w:semiHidden/>
    <w:unhideWhenUsed/>
    <w:qFormat/>
    <w:rsid w:val="00B05790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qFormat/>
    <w:rsid w:val="00E5326D"/>
    <w:pPr>
      <w:shd w:val="clear" w:color="auto" w:fill="FFFFFF"/>
      <w:spacing w:before="120" w:after="300" w:line="317" w:lineRule="exact"/>
      <w:ind w:hanging="1160"/>
    </w:pPr>
    <w:rPr>
      <w:sz w:val="25"/>
      <w:szCs w:val="25"/>
    </w:rPr>
  </w:style>
  <w:style w:type="paragraph" w:customStyle="1" w:styleId="ConsPlusNormal">
    <w:name w:val="ConsPlusNormal"/>
    <w:qFormat/>
    <w:rsid w:val="00E5326D"/>
    <w:pPr>
      <w:widowControl w:val="0"/>
    </w:pPr>
    <w:rPr>
      <w:rFonts w:eastAsia="Times New Roman"/>
      <w:color w:val="00000A"/>
      <w:sz w:val="24"/>
      <w:szCs w:val="20"/>
      <w:lang w:eastAsia="ru-RU"/>
    </w:rPr>
  </w:style>
  <w:style w:type="paragraph" w:customStyle="1" w:styleId="ab">
    <w:name w:val="Содержимое таблицы"/>
    <w:basedOn w:val="a"/>
    <w:qFormat/>
    <w:rsid w:val="00E5326D"/>
  </w:style>
  <w:style w:type="paragraph" w:styleId="ac">
    <w:name w:val="Body Text Indent"/>
    <w:basedOn w:val="a"/>
    <w:rsid w:val="00E5326D"/>
    <w:pPr>
      <w:widowControl/>
      <w:ind w:firstLine="5670"/>
    </w:pPr>
    <w:rPr>
      <w:sz w:val="28"/>
    </w:rPr>
  </w:style>
  <w:style w:type="paragraph" w:styleId="3">
    <w:name w:val="Body Text Indent 3"/>
    <w:basedOn w:val="a"/>
    <w:qFormat/>
    <w:rsid w:val="00E5326D"/>
    <w:pPr>
      <w:widowControl/>
      <w:spacing w:line="300" w:lineRule="exact"/>
      <w:ind w:firstLine="567"/>
      <w:jc w:val="both"/>
    </w:pPr>
    <w:rPr>
      <w:sz w:val="28"/>
    </w:rPr>
  </w:style>
  <w:style w:type="paragraph" w:styleId="ad">
    <w:name w:val="List Paragraph"/>
    <w:basedOn w:val="a"/>
    <w:qFormat/>
    <w:rsid w:val="00E5326D"/>
    <w:pPr>
      <w:ind w:left="720"/>
      <w:contextualSpacing/>
    </w:pPr>
  </w:style>
  <w:style w:type="paragraph" w:customStyle="1" w:styleId="Footer">
    <w:name w:val="Footer"/>
    <w:basedOn w:val="a"/>
    <w:uiPriority w:val="99"/>
    <w:semiHidden/>
    <w:unhideWhenUsed/>
    <w:rsid w:val="007B0F36"/>
    <w:pPr>
      <w:tabs>
        <w:tab w:val="center" w:pos="4677"/>
        <w:tab w:val="right" w:pos="9355"/>
      </w:tabs>
    </w:pPr>
  </w:style>
  <w:style w:type="numbering" w:customStyle="1" w:styleId="WW8Num2">
    <w:name w:val="WW8Num2"/>
    <w:qFormat/>
    <w:rsid w:val="00E5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A839-B736-4603-864E-9F2D90B4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1681</Words>
  <Characters>9583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dc:description/>
  <cp:lastModifiedBy>USER</cp:lastModifiedBy>
  <cp:revision>42</cp:revision>
  <cp:lastPrinted>2017-11-17T18:14:00Z</cp:lastPrinted>
  <dcterms:created xsi:type="dcterms:W3CDTF">2016-08-24T12:28:00Z</dcterms:created>
  <dcterms:modified xsi:type="dcterms:W3CDTF">2015-01-30T02:31:00Z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